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1A3A5C"/>
        <w:spacing w:before="0" w:after="0"/>
        <w:ind w:left="-1701" w:right="-1417"/>
      </w:pPr>
      <w:r>
        <w:rPr>
          <w:sz w:val="8"/>
        </w:rPr>
        <w:t xml:space="preserve"> </w:t>
      </w:r>
    </w:p>
    <w:p>
      <w:pPr>
        <w:spacing w:before="480" w:after="80"/>
      </w:pPr>
      <w:r>
        <w:rPr>
          <w:b/>
          <w:color w:val="1A3A5C"/>
          <w:sz w:val="44"/>
        </w:rPr>
        <w:t>KnowYourCodesMB.ca</w:t>
      </w:r>
    </w:p>
    <w:p>
      <w:pPr>
        <w:spacing w:before="0" w:after="80"/>
      </w:pPr>
      <w:r>
        <w:rPr>
          <w:b/>
          <w:color w:val="007A8A"/>
          <w:sz w:val="32"/>
        </w:rPr>
        <w:t>Compliance Tool — Project Scope</w:t>
      </w:r>
    </w:p>
    <w:p>
      <w:pPr>
        <w:spacing w:before="0" w:after="480"/>
      </w:pPr>
      <w:r>
        <w:rPr>
          <w:color w:val="555555"/>
          <w:sz w:val="22"/>
        </w:rPr>
        <w:t>Phase 1 Addition — Codes Acceleration Fund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Prepared for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Version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Honest Agency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Engineers Geoscientists Manitoba (EngGeoMB)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October 06, 2026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1.0</w:t>
            </w:r>
          </w:p>
        </w:tc>
      </w:tr>
    </w:tbl>
    <w:p/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1. OVERVIEW AND RATIONALE</w:t>
      </w:r>
    </w:p>
    <w:p>
      <w:pPr>
        <w:spacing w:before="40" w:after="80"/>
      </w:pPr>
      <w:r>
        <w:rPr>
          <w:i w:val="0"/>
          <w:sz w:val="20"/>
        </w:rPr>
        <w:t>KnowYourCodesMB.ca is Manitoba's plain-language energy code information hub, developed by Engineers Geoscientists Manitoba (EngGeoMB) with funding from the federal Codes Acceleration Fund (CAF). The site provides guidance on Manitoba's adoption of Tier 3 (residential, NBC 2025 Part 9) and Tier 2 (commercial, NECB 2025), effective January 1, 2028.</w:t>
      </w:r>
    </w:p>
    <w:p>
      <w:pPr>
        <w:spacing w:before="40" w:after="80"/>
      </w:pPr>
      <w:r>
        <w:rPr>
          <w:i w:val="0"/>
          <w:sz w:val="20"/>
        </w:rPr>
        <w:t>This document scopes an interactive compliance tool to be built as part of Phase 1 of the project. The tool allows builders, designers, and building officials to work through the three compliance paths — prescriptive, trade-off, and performance — for both residential and commercial buildings, and determine whether a proposed building design meets Manitoba's adopted energy code tier.</w:t>
      </w:r>
    </w:p>
    <w:p>
      <w:pPr>
        <w:spacing w:before="120" w:after="120"/>
        <w:ind w:left="283" w:right="283"/>
        <w:shd w:val="clear" w:color="auto" w:fill="E8F4F6"/>
      </w:pPr>
      <w:r>
        <w:rPr>
          <w:b/>
          <w:color w:val="007A8A"/>
          <w:sz w:val="20"/>
        </w:rPr>
        <w:t xml:space="preserve">Why a tool?  </w:t>
      </w:r>
      <w:r>
        <w:rPr>
          <w:sz w:val="20"/>
        </w:rPr>
        <w:t>The content pages on KnowYourCodesMB.ca explain the code. The tool helps users apply it. Together they serve the full user journey: understand the code, then verify compliance. A tool also dramatically increases the site's ongoing utility and return visits.</w:t>
      </w:r>
    </w:p>
    <w:p>
      <w:pPr>
        <w:spacing w:before="240" w:after="40"/>
      </w:pPr>
      <w:r>
        <w:rPr>
          <w:b/>
          <w:color w:val="007A8A"/>
          <w:sz w:val="22"/>
        </w:rPr>
        <w:t>2. Manitoba Code Context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Residential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Commercial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Code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NBC 2025 Part 9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NECB 2025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Adopted Tier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Tier 3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Tier 2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Effective Date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January 1, 2028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January 1, 2028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Codes Adopted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June 22, 2027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June 22, 2027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Climate Zones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7A, 7B, 8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7A, 7B, 8</w:t>
            </w:r>
          </w:p>
        </w:tc>
      </w:tr>
    </w:tbl>
    <w:p/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2. USERS</w:t>
      </w:r>
    </w:p>
    <w:p>
      <w:pPr>
        <w:spacing w:before="40" w:after="80"/>
      </w:pPr>
      <w:r>
        <w:rPr>
          <w:i w:val="0"/>
          <w:sz w:val="20"/>
        </w:rPr>
        <w:t>The tool is designed primarily for builders and designers, with a role-adapted experience for engineers, architects, and building officials. Role selection at entry adjusts language and detail level — the underlying calculations and code references are identical.</w:t>
      </w:r>
    </w:p>
    <w:p>
      <w:pPr>
        <w:spacing w:before="240" w:after="40"/>
      </w:pPr>
      <w:r>
        <w:rPr>
          <w:b/>
          <w:color w:val="007A8A"/>
          <w:sz w:val="22"/>
        </w:rPr>
        <w:t>Primary Users</w:t>
      </w:r>
    </w:p>
    <w:p>
      <w:pPr>
        <w:pStyle w:val="ListBullet"/>
        <w:spacing w:before="20" w:after="20"/>
      </w:pPr>
      <w:r>
        <w:rPr>
          <w:sz w:val="20"/>
        </w:rPr>
        <w:t>Builder / Developer</w:t>
      </w:r>
    </w:p>
    <w:p>
      <w:pPr>
        <w:spacing w:before="40" w:after="80"/>
        <w:ind w:left="454"/>
      </w:pPr>
      <w:r>
        <w:rPr>
          <w:i w:val="0"/>
          <w:sz w:val="20"/>
        </w:rPr>
        <w:t>Knows what they're building, less familiar with code specifics. Needs plain-language guidance, clear pass/fail results, and actionable suggestions when not compliant.</w:t>
      </w:r>
    </w:p>
    <w:p>
      <w:pPr>
        <w:pStyle w:val="ListBullet"/>
        <w:spacing w:before="20" w:after="20"/>
      </w:pPr>
      <w:r>
        <w:rPr>
          <w:sz w:val="20"/>
        </w:rPr>
        <w:t>Designer / Architect</w:t>
      </w:r>
    </w:p>
    <w:p>
      <w:pPr>
        <w:spacing w:before="40" w:after="80"/>
        <w:ind w:left="454"/>
      </w:pPr>
      <w:r>
        <w:rPr>
          <w:i w:val="0"/>
          <w:sz w:val="20"/>
        </w:rPr>
        <w:t>Familiar with RSI, U-values, and code structure. Wants a fast, accurate compliance check without extensive hand-holding. May be working on multiple projects.</w:t>
      </w:r>
    </w:p>
    <w:p>
      <w:pPr>
        <w:spacing w:before="240" w:after="40"/>
      </w:pPr>
      <w:r>
        <w:rPr>
          <w:b/>
          <w:color w:val="007A8A"/>
          <w:sz w:val="22"/>
        </w:rPr>
        <w:t>Secondary Users</w:t>
      </w:r>
    </w:p>
    <w:p>
      <w:pPr>
        <w:pStyle w:val="ListBullet"/>
        <w:spacing w:before="20" w:after="20"/>
      </w:pPr>
      <w:r>
        <w:rPr>
          <w:sz w:val="20"/>
        </w:rPr>
        <w:t>Engineer</w:t>
      </w:r>
    </w:p>
    <w:p>
      <w:pPr>
        <w:spacing w:before="40" w:after="80"/>
        <w:ind w:left="454"/>
      </w:pPr>
      <w:r>
        <w:rPr>
          <w:i w:val="0"/>
          <w:sz w:val="20"/>
        </w:rPr>
        <w:t>High code literacy. Uses the tool for verification rather than navigation. Expects precise values and direct code citations.</w:t>
      </w:r>
    </w:p>
    <w:p>
      <w:pPr>
        <w:pStyle w:val="ListBullet"/>
        <w:spacing w:before="20" w:after="20"/>
      </w:pPr>
      <w:r>
        <w:rPr>
          <w:sz w:val="20"/>
        </w:rPr>
        <w:t>Building Official</w:t>
      </w:r>
    </w:p>
    <w:p>
      <w:pPr>
        <w:spacing w:before="40" w:after="80"/>
        <w:ind w:left="454"/>
      </w:pPr>
      <w:r>
        <w:rPr>
          <w:i w:val="0"/>
          <w:sz w:val="20"/>
        </w:rPr>
        <w:t>Review mode: inputs a submitted set of values to verify compliance rather than designing. Same calculations, different framing.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3. COMPLIANCE PATHS IN SCOPE</w:t>
      </w:r>
    </w:p>
    <w:p>
      <w:pPr>
        <w:spacing w:before="40" w:after="80"/>
      </w:pPr>
      <w:r>
        <w:rPr>
          <w:i w:val="0"/>
          <w:sz w:val="20"/>
        </w:rPr>
        <w:t>The tool covers all three code-defined compliance paths for both residential and commercial buildings.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Path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Residential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Commercial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Tool Approach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Prescriptive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NBC 9.36.2–9.36.4 (base)</w:t>
              <w:br/>
              <w:t>+ 9.36.9 (tiered points)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NECB Parts 3–7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Full calculation tool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Trade-off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NBC 9.36.2.11 (simple</w:t>
              <w:br/>
              <w:t>trade-off within envelope)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NECB Section 3.3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Full calculation tool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Performance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NBC 9.36.7 (HOT2000</w:t>
              <w:br/>
              <w:t>modelling)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NECB Part 8 + Part 10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Screening estimator</w:t>
              <w:br/>
              <w:t>+ referral to modeller</w:t>
            </w:r>
          </w:p>
        </w:tc>
      </w:tr>
    </w:tbl>
    <w:p/>
    <w:p>
      <w:pPr>
        <w:spacing w:before="120" w:after="120"/>
        <w:ind w:left="283" w:right="283"/>
        <w:shd w:val="clear" w:color="auto" w:fill="E8F4F6"/>
      </w:pPr>
      <w:r>
        <w:rPr>
          <w:b/>
          <w:color w:val="007A8A"/>
          <w:sz w:val="20"/>
        </w:rPr>
        <w:t xml:space="preserve">Performance path note  </w:t>
      </w:r>
      <w:r>
        <w:rPr>
          <w:sz w:val="20"/>
        </w:rPr>
        <w:t>The residential performance path requires HOT2000 software per NBC 9.36.7 — this cannot be replicated in a web tool for permit purposes. The tool provides a simplified screening estimate to help users understand their likely tier before engaging a certified energy modeller. Output is clearly labelled as an estimate, not a permit-ready result. Same approach for commercial performance path (NECB Part 8).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4. RESIDENTIAL TOOL FLOW</w:t>
      </w:r>
    </w:p>
    <w:p>
      <w:pPr>
        <w:spacing w:before="40" w:after="80"/>
      </w:pPr>
      <w:r>
        <w:rPr>
          <w:i w:val="0"/>
          <w:sz w:val="20"/>
        </w:rPr>
        <w:t>NBC 2025 Part 9 — Manitoba adopts Tier 3 (20 conservation points minimum, 5 from envelope measures).</w:t>
      </w:r>
    </w:p>
    <w:p>
      <w:pPr>
        <w:spacing w:before="240" w:after="40"/>
      </w:pPr>
      <w:r>
        <w:rPr>
          <w:b/>
          <w:color w:val="007A8A"/>
          <w:sz w:val="22"/>
        </w:rPr>
        <w:t>Step 1 — Location</w:t>
      </w:r>
    </w:p>
    <w:p>
      <w:pPr>
        <w:pStyle w:val="ListBullet"/>
        <w:spacing w:before="20" w:after="20"/>
      </w:pPr>
      <w:r>
        <w:rPr>
          <w:sz w:val="20"/>
        </w:rPr>
        <w:t>Dropdown of 24 Manitoba cities/towns</w:t>
      </w:r>
    </w:p>
    <w:p>
      <w:pPr>
        <w:pStyle w:val="ListBullet"/>
        <w:spacing w:before="20" w:after="20"/>
      </w:pPr>
      <w:r>
        <w:rPr>
          <w:sz w:val="20"/>
        </w:rPr>
        <w:t>Auto-assigns HDD value and climate zone (7A, 7B, or 8)</w:t>
      </w:r>
    </w:p>
    <w:p>
      <w:pPr>
        <w:pStyle w:val="ListBullet"/>
        <w:spacing w:before="20" w:after="20"/>
      </w:pPr>
      <w:r>
        <w:rPr>
          <w:sz w:val="20"/>
        </w:rPr>
        <w:t>Small Manitoba map highlights the zone for context</w:t>
      </w:r>
    </w:p>
    <w:p>
      <w:pPr>
        <w:pStyle w:val="ListBullet"/>
        <w:spacing w:before="20" w:after="20"/>
      </w:pPr>
      <w:r>
        <w:rPr>
          <w:sz w:val="20"/>
        </w:rPr>
        <w:t>Manual HDD entry option for locations not listed</w:t>
      </w:r>
    </w:p>
    <w:p>
      <w:pPr>
        <w:spacing w:before="240" w:after="40"/>
      </w:pPr>
      <w:r>
        <w:rPr>
          <w:b/>
          <w:color w:val="007A8A"/>
          <w:sz w:val="22"/>
        </w:rPr>
        <w:t>Step 2 — Building Basics</w:t>
      </w:r>
    </w:p>
    <w:p>
      <w:pPr>
        <w:pStyle w:val="ListBullet"/>
        <w:spacing w:before="20" w:after="20"/>
      </w:pPr>
      <w:r>
        <w:rPr>
          <w:sz w:val="20"/>
        </w:rPr>
        <w:t>Building type: detached house / semi-detached / row house / small multi-unit</w:t>
      </w:r>
    </w:p>
    <w:p>
      <w:pPr>
        <w:pStyle w:val="ListBullet"/>
        <w:spacing w:before="20" w:after="20"/>
      </w:pPr>
      <w:r>
        <w:rPr>
          <w:sz w:val="20"/>
        </w:rPr>
        <w:t>Number of dwelling units</w:t>
      </w:r>
    </w:p>
    <w:p>
      <w:pPr>
        <w:pStyle w:val="ListBullet"/>
        <w:spacing w:before="20" w:after="20"/>
      </w:pPr>
      <w:r>
        <w:rPr>
          <w:sz w:val="20"/>
        </w:rPr>
        <w:t>Total conditioned volume (m³) — with plain-language explainer and diagram</w:t>
      </w:r>
    </w:p>
    <w:p>
      <w:pPr>
        <w:pStyle w:val="ListBullet"/>
        <w:spacing w:before="20" w:after="20"/>
      </w:pPr>
      <w:r>
        <w:rPr>
          <w:sz w:val="20"/>
        </w:rPr>
        <w:t>HRV or ERV included? (yes/no) — determines which base tables apply</w:t>
      </w:r>
    </w:p>
    <w:p>
      <w:pPr>
        <w:spacing w:before="240" w:after="40"/>
      </w:pPr>
      <w:r>
        <w:rPr>
          <w:b/>
          <w:color w:val="007A8A"/>
          <w:sz w:val="22"/>
        </w:rPr>
        <w:t>Step 3 — Choose Compliance Path</w:t>
      </w:r>
    </w:p>
    <w:p>
      <w:pPr>
        <w:spacing w:before="40" w:after="80"/>
      </w:pPr>
      <w:r>
        <w:rPr>
          <w:i w:val="0"/>
          <w:sz w:val="20"/>
        </w:rPr>
        <w:t>Three cards presented with plain-language descriptions:</w:t>
      </w:r>
    </w:p>
    <w:p>
      <w:pPr>
        <w:pStyle w:val="ListBullet"/>
        <w:spacing w:before="20" w:after="20"/>
      </w:pPr>
      <w:r>
        <w:rPr>
          <w:sz w:val="20"/>
        </w:rPr>
        <w:t>Prescriptive base (Sections 9.36.2–9.36.4) — meets Tier 1 only, insufficient for Manitoba. Shown for reference.</w:t>
      </w:r>
    </w:p>
    <w:p>
      <w:pPr>
        <w:pStyle w:val="ListBullet"/>
        <w:spacing w:before="20" w:after="20"/>
      </w:pPr>
      <w:r>
        <w:rPr>
          <w:sz w:val="20"/>
        </w:rPr>
        <w:t>Tiered Prescriptive (Section 9.36.9) — earn conservation points above base minimums. Recommended badge. Most users land here.</w:t>
      </w:r>
    </w:p>
    <w:p>
      <w:pPr>
        <w:pStyle w:val="ListBullet"/>
        <w:spacing w:before="20" w:after="20"/>
      </w:pPr>
      <w:r>
        <w:rPr>
          <w:sz w:val="20"/>
        </w:rPr>
        <w:t>Performance (Section 9.36.7) — energy modelling path. Screening tool only.</w:t>
      </w:r>
    </w:p>
    <w:p>
      <w:pPr>
        <w:spacing w:before="240" w:after="40"/>
      </w:pPr>
      <w:r>
        <w:rPr>
          <w:b/>
          <w:color w:val="007A8A"/>
          <w:sz w:val="22"/>
        </w:rPr>
        <w:t>Tiered Prescriptive Path — Step 4: Base Requirements</w:t>
      </w:r>
    </w:p>
    <w:p>
      <w:pPr>
        <w:spacing w:before="40" w:after="80"/>
      </w:pPr>
      <w:r>
        <w:rPr>
          <w:i w:val="0"/>
          <w:sz w:val="20"/>
        </w:rPr>
        <w:t>User must pass base code minimums (Table 9.36.2.6.-B for buildings with HRV) before earning any points. Each component shows a pass/fail indicator in real time.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Component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Input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Code Reference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Zone 7A Minimum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Above-grade walls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9.36.2.6.-B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RSI 2.97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Ceilings below attics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9.36.2.6.-B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RSI 8.67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Cathedral ceilings / flat roofs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9.36.2.6.-B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RSI 5.02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Floors over unheated spaces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9.36.2.6.-B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RSI 5.02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Windows &amp; doors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U-value or ER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9.36.2.7.-A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U ≤1.61 / ER ≥25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Foundation walls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9.36.2.8.-B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RSI 2.98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Slabs-on-grade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Effective RSI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9.36.2.8.-B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RSI 2.84</w:t>
            </w:r>
          </w:p>
        </w:tc>
      </w:tr>
    </w:tbl>
    <w:p/>
    <w:p>
      <w:pPr>
        <w:spacing w:before="240" w:after="40"/>
      </w:pPr>
      <w:r>
        <w:rPr>
          <w:b/>
          <w:color w:val="007A8A"/>
          <w:sz w:val="22"/>
        </w:rPr>
        <w:t>Tiered Prescriptive Path — Step 5: Earn Conservation Points</w:t>
      </w:r>
    </w:p>
    <w:p>
      <w:pPr>
        <w:spacing w:before="40" w:after="80"/>
      </w:pPr>
      <w:r>
        <w:rPr>
          <w:i w:val="0"/>
          <w:sz w:val="20"/>
        </w:rPr>
        <w:t>Accordion interface — one category at a time. Each category shows the user's input, the points earned at that value for their zone, and the running total. Live point tracker at top of screen throughout: X / 20 total, X / 5 envelope.</w:t>
      </w:r>
    </w:p>
    <w:p>
      <w:pPr>
        <w:spacing w:before="40" w:after="80"/>
      </w:pPr>
      <w:r>
        <w:rPr>
          <w:i w:val="0"/>
          <w:sz w:val="20"/>
        </w:rPr>
        <w:t>Categories in recommended order (highest-impact first for Zone 7A):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</w:tblGrid>
      <w:tr>
        <w:tc>
          <w:tcPr>
            <w:tcW w:type="dxa" w:w="1824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24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type="dxa" w:w="1824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Code Reference</w:t>
            </w:r>
          </w:p>
        </w:tc>
        <w:tc>
          <w:tcPr>
            <w:tcW w:type="dxa" w:w="1824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Max pts Zone 7A</w:t>
            </w:r>
          </w:p>
        </w:tc>
        <w:tc>
          <w:tcPr>
            <w:tcW w:type="dxa" w:w="1824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Space heating — cold-climate ASHP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9.36.9.9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~35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Biggest single earner. Flags heat pump as recommended path.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Space heating — standard ASHP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9.36.9.9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~23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Still very high. Shown if cold-climate not selected.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Airtightness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9.36.9.8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~15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Requires blower door test. Optional but high value.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Above-grade walls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9.36.9.5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~12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Envelope points. Counted toward 5-pt envelope minimum.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Windows &amp; doors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9.36.9.6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~13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High potential. Envelope points.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HRV/ERV efficiency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9.36.9.9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~5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Prerequisite already met; points for exceeding minimum SRE.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Ceilings below attics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9.36.9.5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~1.2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Envelope points.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Cathedral ceilings / flat roofs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9.36.9.5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~1.8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Envelope points.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Foundation walls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9.36.9.7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~3.2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Envelope points.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Service water heating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9.36.9.10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~3.1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Water heater efficiency.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Drain-water heat recovery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9.36.9.10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~4.2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High efficiency drain units.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Gas/propane furnace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9.36.9.9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~1.4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AFUE 96–98%. Shown only if heat pump not selected.</w:t>
            </w:r>
          </w:p>
        </w:tc>
      </w:tr>
      <w:tr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Exposed floors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9.36.9.5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~1.1</w:t>
            </w:r>
          </w:p>
        </w:tc>
        <w:tc>
          <w:tcPr>
            <w:tcW w:type="dxa" w:w="1824"/>
            <w:shd w:val="clear" w:color="auto" w:fill="F2F4F7"/>
          </w:tcPr>
          <w:p>
            <w:r>
              <w:rPr>
                <w:sz w:val="18"/>
              </w:rPr>
              <w:t>Envelope points. Only if ≥30 m².</w:t>
            </w:r>
          </w:p>
        </w:tc>
      </w:tr>
      <w:tr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Building volume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9.36.9.11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824"/>
            <w:shd w:val="clear" w:color="auto" w:fill="FFFFFF"/>
          </w:tcPr>
          <w:p>
            <w:r>
              <w:rPr>
                <w:sz w:val="18"/>
              </w:rPr>
              <w:t>If each unit ≤230 m³, or total ≤390 m³.</w:t>
            </w:r>
          </w:p>
        </w:tc>
      </w:tr>
    </w:tbl>
    <w:p/>
    <w:p>
      <w:pPr>
        <w:spacing w:before="240" w:after="40"/>
      </w:pPr>
      <w:r>
        <w:rPr>
          <w:b/>
          <w:color w:val="007A8A"/>
          <w:sz w:val="22"/>
        </w:rPr>
        <w:t>Tiered Prescriptive Path — Step 6: Results</w:t>
      </w:r>
    </w:p>
    <w:p>
      <w:pPr>
        <w:pStyle w:val="ListBullet"/>
        <w:spacing w:before="20" w:after="20"/>
      </w:pPr>
      <w:r>
        <w:rPr>
          <w:sz w:val="20"/>
        </w:rPr>
        <w:t>Tier achieved displayed prominently (Tier 1 through 5, Manitoba minimum is Tier 3)</w:t>
      </w:r>
    </w:p>
    <w:p>
      <w:pPr>
        <w:pStyle w:val="ListBullet"/>
        <w:spacing w:before="20" w:after="20"/>
      </w:pPr>
      <w:r>
        <w:rPr>
          <w:sz w:val="20"/>
        </w:rPr>
        <w:t>Component summary table: each input, points earned, pass/fail</w:t>
      </w:r>
    </w:p>
    <w:p>
      <w:pPr>
        <w:pStyle w:val="ListBullet"/>
        <w:spacing w:before="20" w:after="20"/>
      </w:pPr>
      <w:r>
        <w:rPr>
          <w:sz w:val="20"/>
        </w:rPr>
        <w:t>Gap analysis: if not at Tier 3, shows "what-if" suggestions — e.g. "Upgrade walls from RSI 3.85 to RSI 4.29 → +2.2 points"</w:t>
      </w:r>
    </w:p>
    <w:p>
      <w:pPr>
        <w:pStyle w:val="ListBullet"/>
        <w:spacing w:before="20" w:after="20"/>
      </w:pPr>
      <w:r>
        <w:rPr>
          <w:sz w:val="20"/>
        </w:rPr>
        <w:t>Tier 3 envelope minimum check: if total points ≥20 but envelope points &lt;5, flags this specifically</w:t>
      </w:r>
    </w:p>
    <w:p>
      <w:pPr>
        <w:pStyle w:val="ListBullet"/>
        <w:spacing w:before="20" w:after="20"/>
      </w:pPr>
      <w:r>
        <w:rPr>
          <w:sz w:val="20"/>
        </w:rPr>
        <w:t>PDF export: one-page compliance summary formatted for permit submission</w:t>
      </w:r>
    </w:p>
    <w:p>
      <w:pPr>
        <w:pStyle w:val="ListBullet"/>
        <w:spacing w:before="20" w:after="20"/>
      </w:pPr>
      <w:r>
        <w:rPr>
          <w:sz w:val="20"/>
        </w:rPr>
        <w:t>Save project: email-based, no account required — user gets a link to return and edit</w:t>
      </w:r>
    </w:p>
    <w:p>
      <w:pPr>
        <w:spacing w:before="240" w:after="40"/>
      </w:pPr>
      <w:r>
        <w:rPr>
          <w:b/>
          <w:color w:val="007A8A"/>
          <w:sz w:val="22"/>
        </w:rPr>
        <w:t>Performance Screening Path</w:t>
      </w:r>
    </w:p>
    <w:p>
      <w:pPr>
        <w:spacing w:before="40" w:after="80"/>
      </w:pPr>
      <w:r>
        <w:rPr>
          <w:i w:val="0"/>
          <w:sz w:val="20"/>
        </w:rPr>
        <w:t>Simplified energy screening based on key inputs. Output is an estimated percent improvement over the NBC reference house and likely tier. Not permit-ready — clearly labelled as a screening estimate throughout.</w:t>
      </w:r>
    </w:p>
    <w:p>
      <w:pPr>
        <w:pStyle w:val="ListBullet"/>
        <w:spacing w:before="20" w:after="20"/>
      </w:pPr>
      <w:r>
        <w:rPr>
          <w:sz w:val="20"/>
        </w:rPr>
        <w:t>Inputs: location, building volume, wall/roof/window specs (pre-filled if base check was done), heating system, hot water, airtightness if known</w:t>
      </w:r>
    </w:p>
    <w:p>
      <w:pPr>
        <w:pStyle w:val="ListBullet"/>
        <w:spacing w:before="20" w:after="20"/>
      </w:pPr>
      <w:r>
        <w:rPr>
          <w:sz w:val="20"/>
        </w:rPr>
        <w:t>Output: estimated % improvement range, likely tier, clear disclaimer, link to energy modeller directory (ties to page 2C.2)</w:t>
      </w:r>
    </w:p>
    <w:p>
      <w:pPr>
        <w:pStyle w:val="ListBullet"/>
        <w:spacing w:before="20" w:after="20"/>
      </w:pPr>
      <w:r>
        <w:rPr>
          <w:sz w:val="20"/>
        </w:rPr>
        <w:t>Code reference: NBC 2025 Table 9.36.7.2 (performance tier thresholds)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5. COMMERCIAL TOOL FLOW</w:t>
      </w:r>
    </w:p>
    <w:p>
      <w:pPr>
        <w:spacing w:before="40" w:after="80"/>
      </w:pPr>
      <w:r>
        <w:rPr>
          <w:i w:val="0"/>
          <w:sz w:val="20"/>
        </w:rPr>
        <w:t>NECB 2025 — Manitoba adopts Tier 2 (≤75% of reference building energy, or ≥25% improvement).</w:t>
      </w:r>
    </w:p>
    <w:p>
      <w:pPr>
        <w:spacing w:before="240" w:after="40"/>
      </w:pPr>
      <w:r>
        <w:rPr>
          <w:b/>
          <w:color w:val="007A8A"/>
          <w:sz w:val="22"/>
        </w:rPr>
        <w:t>Steps 1–2 — Location and Building Basics</w:t>
      </w:r>
    </w:p>
    <w:p>
      <w:pPr>
        <w:pStyle w:val="ListBullet"/>
        <w:spacing w:before="20" w:after="20"/>
      </w:pPr>
      <w:r>
        <w:rPr>
          <w:sz w:val="20"/>
        </w:rPr>
        <w:t>City dropdown → climate zone (7A, 7B, 8)</w:t>
      </w:r>
    </w:p>
    <w:p>
      <w:pPr>
        <w:pStyle w:val="ListBullet"/>
        <w:spacing w:before="20" w:after="20"/>
      </w:pPr>
      <w:r>
        <w:rPr>
          <w:sz w:val="20"/>
        </w:rPr>
        <w:t>Building occupancy type (office, retail, school, warehouse, etc.)</w:t>
      </w:r>
    </w:p>
    <w:p>
      <w:pPr>
        <w:pStyle w:val="ListBullet"/>
        <w:spacing w:before="20" w:after="20"/>
      </w:pPr>
      <w:r>
        <w:rPr>
          <w:sz w:val="20"/>
        </w:rPr>
        <w:t>Number of storeys, gross floor area (m²)</w:t>
      </w:r>
    </w:p>
    <w:p>
      <w:pPr>
        <w:pStyle w:val="ListBullet"/>
        <w:spacing w:before="20" w:after="20"/>
      </w:pPr>
      <w:r>
        <w:rPr>
          <w:sz w:val="20"/>
        </w:rPr>
        <w:t>Conditioned or semi-heated designation</w:t>
      </w:r>
    </w:p>
    <w:p>
      <w:pPr>
        <w:spacing w:before="240" w:after="40"/>
      </w:pPr>
      <w:r>
        <w:rPr>
          <w:b/>
          <w:color w:val="007A8A"/>
          <w:sz w:val="22"/>
        </w:rPr>
        <w:t>Step 3 — Compliance Path</w:t>
      </w:r>
    </w:p>
    <w:p>
      <w:pPr>
        <w:pStyle w:val="ListBullet"/>
        <w:spacing w:before="20" w:after="20"/>
      </w:pPr>
      <w:r>
        <w:rPr>
          <w:sz w:val="20"/>
        </w:rPr>
        <w:t>Prescriptive: check each system independently against NECB tables. All five parts (3–7) must comply.</w:t>
      </w:r>
    </w:p>
    <w:p>
      <w:pPr>
        <w:pStyle w:val="ListBullet"/>
        <w:spacing w:before="20" w:after="20"/>
      </w:pPr>
      <w:r>
        <w:rPr>
          <w:sz w:val="20"/>
        </w:rPr>
        <w:t>Trade-off: envelope trade-offs within category. Cannot trade across systems (e.g. envelope vs lighting).</w:t>
      </w:r>
    </w:p>
    <w:p>
      <w:pPr>
        <w:pStyle w:val="ListBullet"/>
        <w:spacing w:before="20" w:after="20"/>
      </w:pPr>
      <w:r>
        <w:rPr>
          <w:sz w:val="20"/>
        </w:rPr>
        <w:t>Performance: screening estimator (≥25% improvement over reference building). Refer to certified modeller for permits.</w:t>
      </w:r>
    </w:p>
    <w:p>
      <w:pPr>
        <w:spacing w:before="240" w:after="40"/>
      </w:pPr>
      <w:r>
        <w:rPr>
          <w:b/>
          <w:color w:val="007A8A"/>
          <w:sz w:val="22"/>
        </w:rPr>
        <w:t>Prescriptive Path — Five Sections</w:t>
      </w:r>
    </w:p>
    <w:p>
      <w:pPr>
        <w:spacing w:before="160" w:after="20"/>
      </w:pPr>
      <w:r>
        <w:rPr>
          <w:b/>
          <w:color w:val="1A1A1A"/>
          <w:sz w:val="20"/>
        </w:rPr>
        <w:t>Part 3 — Building Envelope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Input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Code Reference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Zone 7A Limit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FDWR calculation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Fenestration + door area / gross wall area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NECB 3.2.1.4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≤40% (formula-adjusted for HDD)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Above-grade walls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3.2.2.2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≤0.215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Roofs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3.2.2.2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≤0.121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Floors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3.2.2.2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≤0.138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Vertical fenestration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3.2.2.3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≤1.73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Skylights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3.2.2.3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≤2.41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Doors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Table 3.2.2.4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≤1.90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Below-grade walls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U-value W/(m²·K)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Table 3.2.3.1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≤0.284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Air barrier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Confirm continuous system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NECB 3.2.4.1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Required</w:t>
            </w:r>
          </w:p>
        </w:tc>
      </w:tr>
    </w:tbl>
    <w:p/>
    <w:p>
      <w:pPr>
        <w:spacing w:before="160" w:after="20"/>
      </w:pPr>
      <w:r>
        <w:rPr>
          <w:b/>
          <w:color w:val="1A1A1A"/>
          <w:sz w:val="20"/>
        </w:rPr>
        <w:t>Part 4 — Lighting</w:t>
      </w:r>
    </w:p>
    <w:p>
      <w:pPr>
        <w:pStyle w:val="ListBullet"/>
        <w:spacing w:before="20" w:after="20"/>
      </w:pPr>
      <w:r>
        <w:rPr>
          <w:sz w:val="20"/>
        </w:rPr>
        <w:t>Space type selector → auto-fills LPD limit from NECB Table 4.2.1.5</w:t>
      </w:r>
    </w:p>
    <w:p>
      <w:pPr>
        <w:pStyle w:val="ListBullet"/>
        <w:spacing w:before="20" w:after="20"/>
      </w:pPr>
      <w:r>
        <w:rPr>
          <w:sz w:val="20"/>
        </w:rPr>
        <w:t>User inputs installed LPD (W/m²) → pass/fail</w:t>
      </w:r>
    </w:p>
    <w:p>
      <w:pPr>
        <w:pStyle w:val="ListBullet"/>
        <w:spacing w:before="20" w:after="20"/>
      </w:pPr>
      <w:r>
        <w:rPr>
          <w:sz w:val="20"/>
        </w:rPr>
        <w:t>Lighting controls checklist: occupancy sensors, automatic daylight controls</w:t>
      </w:r>
    </w:p>
    <w:p>
      <w:pPr>
        <w:spacing w:before="160" w:after="20"/>
      </w:pPr>
      <w:r>
        <w:rPr>
          <w:b/>
          <w:color w:val="1A1A1A"/>
          <w:sz w:val="20"/>
        </w:rPr>
        <w:t>Part 5 — HVAC</w:t>
      </w:r>
    </w:p>
    <w:p>
      <w:pPr>
        <w:pStyle w:val="ListBullet"/>
        <w:spacing w:before="20" w:after="20"/>
      </w:pPr>
      <w:r>
        <w:rPr>
          <w:sz w:val="20"/>
        </w:rPr>
        <w:t>System type selector</w:t>
      </w:r>
    </w:p>
    <w:p>
      <w:pPr>
        <w:pStyle w:val="ListBullet"/>
        <w:spacing w:before="20" w:after="20"/>
      </w:pPr>
      <w:r>
        <w:rPr>
          <w:sz w:val="20"/>
        </w:rPr>
        <w:t>Energy recovery ventilation check: fan airflow vs threshold (Tables 5.2.10.1-A/B)</w:t>
      </w:r>
    </w:p>
    <w:p>
      <w:pPr>
        <w:pStyle w:val="ListBullet"/>
        <w:spacing w:before="20" w:after="20"/>
      </w:pPr>
      <w:r>
        <w:rPr>
          <w:sz w:val="20"/>
        </w:rPr>
        <w:t>Equipment efficiency inputs vs minimums (Tables 5.2.12.1 series)</w:t>
      </w:r>
    </w:p>
    <w:p>
      <w:pPr>
        <w:pStyle w:val="ListBullet"/>
        <w:spacing w:before="20" w:after="20"/>
      </w:pPr>
      <w:r>
        <w:rPr>
          <w:sz w:val="20"/>
        </w:rPr>
        <w:t>Balancing requirements confirmation</w:t>
      </w:r>
    </w:p>
    <w:p>
      <w:pPr>
        <w:spacing w:before="160" w:after="20"/>
      </w:pPr>
      <w:r>
        <w:rPr>
          <w:b/>
          <w:color w:val="1A1A1A"/>
          <w:sz w:val="20"/>
        </w:rPr>
        <w:t>Part 6 — Service Water Heating</w:t>
      </w:r>
    </w:p>
    <w:p>
      <w:pPr>
        <w:pStyle w:val="ListBullet"/>
        <w:spacing w:before="20" w:after="20"/>
      </w:pPr>
      <w:r>
        <w:rPr>
          <w:sz w:val="20"/>
        </w:rPr>
        <w:t>Equipment type + efficiency rating → pass/fail vs NECB minimums</w:t>
      </w:r>
    </w:p>
    <w:p>
      <w:pPr>
        <w:spacing w:before="160" w:after="20"/>
      </w:pPr>
      <w:r>
        <w:rPr>
          <w:b/>
          <w:color w:val="1A1A1A"/>
          <w:sz w:val="20"/>
        </w:rPr>
        <w:t>Part 7 — Electrical</w:t>
      </w:r>
    </w:p>
    <w:p>
      <w:pPr>
        <w:pStyle w:val="ListBullet"/>
        <w:spacing w:before="20" w:after="20"/>
      </w:pPr>
      <w:r>
        <w:rPr>
          <w:sz w:val="20"/>
        </w:rPr>
        <w:t>Motor sizes → minimum efficiency check</w:t>
      </w:r>
    </w:p>
    <w:p>
      <w:pPr>
        <w:pStyle w:val="ListBullet"/>
        <w:spacing w:before="20" w:after="20"/>
      </w:pPr>
      <w:r>
        <w:rPr>
          <w:sz w:val="20"/>
        </w:rPr>
        <w:t>Power factor requirements</w:t>
      </w:r>
    </w:p>
    <w:p>
      <w:pPr>
        <w:spacing w:before="240" w:after="40"/>
      </w:pPr>
      <w:r>
        <w:rPr>
          <w:b/>
          <w:color w:val="007A8A"/>
          <w:sz w:val="22"/>
        </w:rPr>
        <w:t>Trade-off Path (Envelope Only)</w:t>
      </w:r>
    </w:p>
    <w:p>
      <w:pPr>
        <w:spacing w:before="40" w:after="80"/>
      </w:pPr>
      <w:r>
        <w:rPr>
          <w:i w:val="0"/>
          <w:sz w:val="20"/>
        </w:rPr>
        <w:t>NECB Section 3.3 permits trade-offs within the envelope category only. A component that exceeds the prescriptive minimum can compensate for one that falls below, provided absolute minimums are not violated.</w:t>
      </w:r>
    </w:p>
    <w:p>
      <w:pPr>
        <w:pStyle w:val="ListBullet"/>
        <w:spacing w:before="20" w:after="20"/>
      </w:pPr>
      <w:r>
        <w:rPr>
          <w:sz w:val="20"/>
        </w:rPr>
        <w:t>User inputs all above-ground assembly U-values and areas</w:t>
      </w:r>
    </w:p>
    <w:p>
      <w:pPr>
        <w:pStyle w:val="ListBullet"/>
        <w:spacing w:before="20" w:after="20"/>
      </w:pPr>
      <w:r>
        <w:rPr>
          <w:sz w:val="20"/>
        </w:rPr>
        <w:t>Tool calculates area-weighted average thermal transmittance</w:t>
      </w:r>
    </w:p>
    <w:p>
      <w:pPr>
        <w:pStyle w:val="ListBullet"/>
        <w:spacing w:before="20" w:after="20"/>
      </w:pPr>
      <w:r>
        <w:rPr>
          <w:sz w:val="20"/>
        </w:rPr>
        <w:t>Compares against reference building thermal transmittance</w:t>
      </w:r>
    </w:p>
    <w:p>
      <w:pPr>
        <w:pStyle w:val="ListBullet"/>
        <w:spacing w:before="20" w:after="20"/>
      </w:pPr>
      <w:r>
        <w:rPr>
          <w:sz w:val="20"/>
        </w:rPr>
        <w:t>Flags components below prescriptive minimums and calculates required compensation</w:t>
      </w:r>
    </w:p>
    <w:p>
      <w:pPr>
        <w:pStyle w:val="ListBullet"/>
        <w:spacing w:before="20" w:after="20"/>
      </w:pPr>
      <w:r>
        <w:rPr>
          <w:sz w:val="20"/>
        </w:rPr>
        <w:t>FDWR check still applies — cannot be traded away</w:t>
      </w:r>
    </w:p>
    <w:p>
      <w:pPr>
        <w:spacing w:before="240" w:after="40"/>
      </w:pPr>
      <w:r>
        <w:rPr>
          <w:b/>
          <w:color w:val="007A8A"/>
          <w:sz w:val="22"/>
        </w:rPr>
        <w:t>Performance Screening Path (Commercial)</w:t>
      </w:r>
    </w:p>
    <w:p>
      <w:pPr>
        <w:pStyle w:val="ListBullet"/>
        <w:spacing w:before="20" w:after="20"/>
      </w:pPr>
      <w:r>
        <w:rPr>
          <w:sz w:val="20"/>
        </w:rPr>
        <w:t>Simplified inputs: location, envelope specs, lighting LPD, HVAC type, hot water</w:t>
      </w:r>
    </w:p>
    <w:p>
      <w:pPr>
        <w:pStyle w:val="ListBullet"/>
        <w:spacing w:before="20" w:after="20"/>
      </w:pPr>
      <w:r>
        <w:rPr>
          <w:sz w:val="20"/>
        </w:rPr>
        <w:t>Estimated % improvement vs NECB reference building</w:t>
      </w:r>
    </w:p>
    <w:p>
      <w:pPr>
        <w:pStyle w:val="ListBullet"/>
        <w:spacing w:before="20" w:after="20"/>
      </w:pPr>
      <w:r>
        <w:rPr>
          <w:sz w:val="20"/>
        </w:rPr>
        <w:t>Tier 2 threshold: ≤75% of reference building energy (≥25% improvement)</w:t>
      </w:r>
    </w:p>
    <w:p>
      <w:pPr>
        <w:pStyle w:val="ListBullet"/>
        <w:spacing w:before="20" w:after="20"/>
      </w:pPr>
      <w:r>
        <w:rPr>
          <w:sz w:val="20"/>
        </w:rPr>
        <w:t>Output: estimated range, likely tier, disclaimer, referral to energy modellers</w:t>
      </w:r>
    </w:p>
    <w:p>
      <w:pPr>
        <w:pStyle w:val="ListBullet"/>
        <w:spacing w:before="20" w:after="20"/>
      </w:pPr>
      <w:r>
        <w:rPr>
          <w:sz w:val="20"/>
        </w:rPr>
        <w:t>Code reference: NECB 2025 Table 10.1.2.1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6. CODE REFERENCE STRATEGY</w:t>
      </w:r>
    </w:p>
    <w:p>
      <w:pPr>
        <w:spacing w:before="40" w:after="80"/>
      </w:pPr>
      <w:r>
        <w:rPr>
          <w:i w:val="0"/>
          <w:sz w:val="20"/>
        </w:rPr>
        <w:t>Every data point, threshold, and calculation in the tool is traceable to a specific code table or article. References are presented at three levels:</w:t>
      </w:r>
    </w:p>
    <w:p>
      <w:pPr>
        <w:spacing w:before="240" w:after="40"/>
      </w:pPr>
      <w:r>
        <w:rPr>
          <w:b/>
          <w:color w:val="007A8A"/>
          <w:sz w:val="22"/>
        </w:rPr>
        <w:t>Level 1 — Inline Citation</w:t>
      </w:r>
    </w:p>
    <w:p>
      <w:pPr>
        <w:spacing w:before="40" w:after="80"/>
      </w:pPr>
      <w:r>
        <w:rPr>
          <w:i w:val="0"/>
          <w:sz w:val="20"/>
        </w:rPr>
        <w:t>Every pass/fail threshold and point value shows a linked citation directly in the UI:</w:t>
      </w:r>
    </w:p>
    <w:p>
      <w:pPr>
        <w:spacing w:before="120" w:after="120"/>
        <w:ind w:left="283" w:right="283"/>
        <w:shd w:val="clear" w:color="auto" w:fill="E8F4F6"/>
      </w:pPr>
      <w:r>
        <w:rPr>
          <w:b/>
          <w:color w:val="007A8A"/>
          <w:sz w:val="20"/>
        </w:rPr>
        <w:t xml:space="preserve">Example  </w:t>
      </w:r>
      <w:r>
        <w:rPr>
          <w:sz w:val="20"/>
        </w:rPr>
        <w:t>"Above-grade walls — Zone 7A: maximum U-value 0.215 W/(m²·K)  [NECB 2025 Table 3.2.2.2 ↗]"</w:t>
        <w:br/>
        <w:t>Clicking the link opens the relevant page of the hosted PDF.</w:t>
      </w:r>
    </w:p>
    <w:p>
      <w:pPr>
        <w:spacing w:before="240" w:after="40"/>
      </w:pPr>
      <w:r>
        <w:rPr>
          <w:b/>
          <w:color w:val="007A8A"/>
          <w:sz w:val="22"/>
        </w:rPr>
        <w:t>Level 2 — Site Content Links</w:t>
      </w:r>
    </w:p>
    <w:p>
      <w:pPr>
        <w:spacing w:before="40" w:after="80"/>
      </w:pPr>
      <w:r>
        <w:rPr>
          <w:i w:val="0"/>
          <w:sz w:val="20"/>
        </w:rPr>
        <w:t>Where a KnowYourCodesMB.ca content page already covers the topic (most topics — 25 pages were drafted in Phase 1), the tool links to that page first. The PDF is a secondary "see source" link. This keeps users in the site ecosystem and reinforces the content investment.</w:t>
      </w:r>
    </w:p>
    <w:p>
      <w:pPr>
        <w:spacing w:before="240" w:after="40"/>
      </w:pPr>
      <w:r>
        <w:rPr>
          <w:b/>
          <w:color w:val="007A8A"/>
          <w:sz w:val="22"/>
        </w:rPr>
        <w:t>Level 3 — Expandable Code Text</w:t>
      </w:r>
    </w:p>
    <w:p>
      <w:pPr>
        <w:spacing w:before="40" w:after="80"/>
      </w:pPr>
      <w:r>
        <w:rPr>
          <w:i w:val="0"/>
          <w:sz w:val="20"/>
        </w:rPr>
        <w:t>For key articles and tables, the relevant code text is available inline — collapsed by default, expandable with a "View code text" toggle. This allows users to read the exact wording without leaving the tool. EVS to review presentation of code language for accuracy.</w:t>
      </w:r>
    </w:p>
    <w:p>
      <w:pPr>
        <w:spacing w:before="240" w:after="40"/>
      </w:pPr>
      <w:r>
        <w:rPr>
          <w:b/>
          <w:color w:val="007A8A"/>
          <w:sz w:val="22"/>
        </w:rPr>
        <w:t>PDF Hosting</w:t>
      </w:r>
    </w:p>
    <w:p>
      <w:pPr>
        <w:spacing w:before="40" w:after="80"/>
      </w:pPr>
      <w:r>
        <w:rPr>
          <w:i w:val="0"/>
          <w:sz w:val="20"/>
        </w:rPr>
        <w:t>The NRC does not publish stable anchor URLs for code articles. PDFs are hosted on KnowYourCodesMB.ca at stable paths:</w:t>
      </w:r>
    </w:p>
    <w:p>
      <w:pPr>
        <w:pStyle w:val="ListBullet"/>
        <w:spacing w:before="20" w:after="20"/>
      </w:pPr>
      <w:r>
        <w:rPr>
          <w:sz w:val="20"/>
        </w:rPr>
        <w:t>knowyourcodes.ca/codes/NBC-2025-Vol2.pdf</w:t>
      </w:r>
    </w:p>
    <w:p>
      <w:pPr>
        <w:pStyle w:val="ListBullet"/>
        <w:spacing w:before="20" w:after="20"/>
      </w:pPr>
      <w:r>
        <w:rPr>
          <w:sz w:val="20"/>
        </w:rPr>
        <w:t>knowyourcodes.ca/codes/NECB-2025.pdf</w:t>
      </w:r>
    </w:p>
    <w:p>
      <w:pPr>
        <w:spacing w:before="40" w:after="80"/>
      </w:pPr>
      <w:r>
        <w:rPr>
          <w:i w:val="0"/>
          <w:sz w:val="20"/>
        </w:rPr>
        <w:t>Tool links use PDF page anchors, e.g. NBC-2025-Vol2.pdf#page=294 to jump directly to the relevant page.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7. OUTPUT AND SAVE FEATURES</w:t>
      </w:r>
    </w:p>
    <w:p>
      <w:pPr>
        <w:spacing w:before="240" w:after="40"/>
      </w:pPr>
      <w:r>
        <w:rPr>
          <w:b/>
          <w:color w:val="007A8A"/>
          <w:sz w:val="22"/>
        </w:rPr>
        <w:t>On-Screen Results</w:t>
      </w:r>
    </w:p>
    <w:p>
      <w:pPr>
        <w:pStyle w:val="ListBullet"/>
        <w:spacing w:before="20" w:after="20"/>
      </w:pPr>
      <w:r>
        <w:rPr>
          <w:sz w:val="20"/>
        </w:rPr>
        <w:t>Live, reactive — updates as user inputs change</w:t>
      </w:r>
    </w:p>
    <w:p>
      <w:pPr>
        <w:pStyle w:val="ListBullet"/>
        <w:spacing w:before="20" w:after="20"/>
      </w:pPr>
      <w:r>
        <w:rPr>
          <w:sz w:val="20"/>
        </w:rPr>
        <w:t>Component-by-component summary with pass/fail indicators</w:t>
      </w:r>
    </w:p>
    <w:p>
      <w:pPr>
        <w:pStyle w:val="ListBullet"/>
        <w:spacing w:before="20" w:after="20"/>
      </w:pPr>
      <w:r>
        <w:rPr>
          <w:sz w:val="20"/>
        </w:rPr>
        <w:t>Tier achieved displayed prominently</w:t>
      </w:r>
    </w:p>
    <w:p>
      <w:pPr>
        <w:pStyle w:val="ListBullet"/>
        <w:spacing w:before="20" w:after="20"/>
      </w:pPr>
      <w:r>
        <w:rPr>
          <w:sz w:val="20"/>
        </w:rPr>
        <w:t>Gap analysis and what-if suggestions when not at required tier</w:t>
      </w:r>
    </w:p>
    <w:p>
      <w:pPr>
        <w:spacing w:before="240" w:after="40"/>
      </w:pPr>
      <w:r>
        <w:rPr>
          <w:b/>
          <w:color w:val="007A8A"/>
          <w:sz w:val="22"/>
        </w:rPr>
        <w:t>PDF Export</w:t>
      </w:r>
    </w:p>
    <w:p>
      <w:pPr>
        <w:pStyle w:val="ListBullet"/>
        <w:spacing w:before="20" w:after="20"/>
      </w:pPr>
      <w:r>
        <w:rPr>
          <w:sz w:val="20"/>
        </w:rPr>
        <w:t>One-page compliance summary per project</w:t>
      </w:r>
    </w:p>
    <w:p>
      <w:pPr>
        <w:pStyle w:val="ListBullet"/>
        <w:spacing w:before="20" w:after="20"/>
      </w:pPr>
      <w:r>
        <w:rPr>
          <w:sz w:val="20"/>
        </w:rPr>
        <w:t>Designed to be attachable to a permit application</w:t>
      </w:r>
    </w:p>
    <w:p>
      <w:pPr>
        <w:pStyle w:val="ListBullet"/>
        <w:spacing w:before="20" w:after="20"/>
      </w:pPr>
      <w:r>
        <w:rPr>
          <w:sz w:val="20"/>
        </w:rPr>
        <w:t>Includes: project address, date, climate zone, path chosen, all component values, tier/compliance result</w:t>
      </w:r>
    </w:p>
    <w:p>
      <w:pPr>
        <w:pStyle w:val="ListBullet"/>
        <w:spacing w:before="20" w:after="20"/>
      </w:pPr>
      <w:r>
        <w:rPr>
          <w:sz w:val="20"/>
        </w:rPr>
        <w:t>Tool version number and disclaimer included</w:t>
      </w:r>
    </w:p>
    <w:p>
      <w:pPr>
        <w:pStyle w:val="ListBullet"/>
        <w:spacing w:before="20" w:after="20"/>
      </w:pPr>
      <w:r>
        <w:rPr>
          <w:sz w:val="20"/>
        </w:rPr>
        <w:t>Residential: includes code references per component</w:t>
      </w:r>
    </w:p>
    <w:p>
      <w:pPr>
        <w:pStyle w:val="ListBullet"/>
        <w:spacing w:before="20" w:after="20"/>
      </w:pPr>
      <w:r>
        <w:rPr>
          <w:sz w:val="20"/>
        </w:rPr>
        <w:t>Commercial: separate section per NECB part</w:t>
      </w:r>
    </w:p>
    <w:p>
      <w:pPr>
        <w:spacing w:before="240" w:after="40"/>
      </w:pPr>
      <w:r>
        <w:rPr>
          <w:b/>
          <w:color w:val="007A8A"/>
          <w:sz w:val="22"/>
        </w:rPr>
        <w:t>Save / Share</w:t>
      </w:r>
    </w:p>
    <w:p>
      <w:pPr>
        <w:pStyle w:val="ListBullet"/>
        <w:spacing w:before="20" w:after="20"/>
      </w:pPr>
      <w:r>
        <w:rPr>
          <w:sz w:val="20"/>
        </w:rPr>
        <w:t>Email-based — no account or password required</w:t>
      </w:r>
    </w:p>
    <w:p>
      <w:pPr>
        <w:pStyle w:val="ListBullet"/>
        <w:spacing w:before="20" w:after="20"/>
      </w:pPr>
      <w:r>
        <w:rPr>
          <w:sz w:val="20"/>
        </w:rPr>
        <w:t>User enters email address, receives a unique link to their saved project</w:t>
      </w:r>
    </w:p>
    <w:p>
      <w:pPr>
        <w:pStyle w:val="ListBullet"/>
        <w:spacing w:before="20" w:after="20"/>
      </w:pPr>
      <w:r>
        <w:rPr>
          <w:sz w:val="20"/>
        </w:rPr>
        <w:t>Link allows returning to edit inputs and re-run calculations</w:t>
      </w:r>
    </w:p>
    <w:p>
      <w:pPr>
        <w:pStyle w:val="ListBullet"/>
        <w:spacing w:before="20" w:after="20"/>
      </w:pPr>
      <w:r>
        <w:rPr>
          <w:sz w:val="20"/>
        </w:rPr>
        <w:t>Projects are not publicly accessible — link is private</w:t>
      </w:r>
    </w:p>
    <w:p>
      <w:pPr>
        <w:pStyle w:val="ListBullet"/>
        <w:spacing w:before="20" w:after="20"/>
      </w:pPr>
      <w:r>
        <w:rPr>
          <w:sz w:val="20"/>
        </w:rPr>
        <w:t>Projects auto-expire after 12 months (or configurable)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8. DATA FOUNDATION</w:t>
      </w:r>
    </w:p>
    <w:p>
      <w:pPr>
        <w:spacing w:before="40" w:after="80"/>
      </w:pPr>
      <w:r>
        <w:rPr>
          <w:i w:val="0"/>
          <w:sz w:val="20"/>
        </w:rPr>
        <w:t>The underlying code data has already been structured and validated as part of this project. All values have been extracted directly from the 2025 code books.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Dataset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24 Manitoba cities → HDD + climate zone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NECB/NBC Appendix C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NECB 2025 envelope tables (Zones 7A/7B/8)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NECB 2025 Tables 3.2.2.2–3.2.3.1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NBC 2025 base prescriptive tables (with/without HRV)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NBC 2025 Tables 9.36.2.6-A/B, 9.36.2.7-A, 9.36.2.8-A/B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NBC 2025 tiered point tables (all 15 categories)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NBC 2025 Tables 9.36.9.5–9.36.9.11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Tier thresholds (residential + commercial)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NBC Table 9.36.9.2, NECB Table 10.1.2.1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Performance path tier targets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NBC Table 9.36.7.2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NECB lighting LPD tables (Part 4)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Pending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NECB 2025 Table 4.2.1.5 — extractable from PDF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NECB HVAC equipment efficiency tables (Part 5)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Pending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NECB 2025 Tables 5.2.12.1 series — extractable from PDF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Manitoba energy code amendments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Complete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Manitoba Regulation 79/2023</w:t>
            </w:r>
          </w:p>
        </w:tc>
      </w:tr>
    </w:tbl>
    <w:p/>
    <w:p>
      <w:pPr>
        <w:spacing w:before="40" w:after="80"/>
      </w:pPr>
      <w:r>
        <w:rPr>
          <w:i/>
          <w:sz w:val="20"/>
        </w:rPr>
        <w:t>All data is stored in a structured JSON file (mb-code-data.json) that serves as the tool's calculation engine. Pending items can be extracted from the NECB 2025 PDF before build begins.</w:t>
      </w:r>
    </w:p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9. TECHNICAL APPROACH</w:t>
      </w:r>
    </w:p>
    <w:p>
      <w:pPr>
        <w:spacing w:before="40" w:after="80"/>
      </w:pPr>
      <w:r>
        <w:rPr>
          <w:i w:val="0"/>
          <w:sz w:val="20"/>
        </w:rPr>
        <w:t>The tool is built as an addition to the KnowYourCodesMB.ca website, using the same technology stack.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Component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Technology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Frontend framework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Next.js (React)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Same stack as site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Database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PostgreSQL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Saved projects, usage analytics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Calculation engine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JSON data + server-side TypeScript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All code table data pre-structured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PDF export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React-PDF or Puppeteer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Server-side generation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PDF hosting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Static file hosting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NBC and NECB 2025 PDFs at stable URLs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Save / share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Email token + serialized JSON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No account system required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Code references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PDF page anchors + internal links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Linked from every threshold value</w:t>
            </w:r>
          </w:p>
        </w:tc>
      </w:tr>
    </w:tbl>
    <w:p/>
    <w:p>
      <w:pPr>
        <w:spacing w:before="240" w:after="40"/>
      </w:pPr>
      <w:r>
        <w:rPr>
          <w:b/>
          <w:color w:val="007A8A"/>
          <w:sz w:val="22"/>
        </w:rPr>
        <w:t>Complexity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Feature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Complexity</w:t>
            </w:r>
          </w:p>
        </w:tc>
        <w:tc>
          <w:tcPr>
            <w:tcW w:type="dxa" w:w="3041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Residential tiered prescriptive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Point lookup + running tally + gap analysis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Residential performance screening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Simplified heat loss model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Residential trade-off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Low-Medium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Simple envelope trade-off per NBC 9.36.2.11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Commercial prescriptive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Medium-High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Five independent sections, more tables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Commercial trade-off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High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Weighted average calculation + compensation logic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Commercial performance screening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Simplified model, same pattern as residential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PDF export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Low-Medium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Templated, server-side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Save / share (email token)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Low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Standard pattern</w:t>
            </w:r>
          </w:p>
        </w:tc>
      </w:tr>
      <w:tr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Code reference links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Low</w:t>
            </w:r>
          </w:p>
        </w:tc>
        <w:tc>
          <w:tcPr>
            <w:tcW w:type="dxa" w:w="3041"/>
            <w:shd w:val="clear" w:color="auto" w:fill="F2F4F7"/>
          </w:tcPr>
          <w:p>
            <w:r>
              <w:rPr>
                <w:sz w:val="18"/>
              </w:rPr>
              <w:t>Data already tagged with table references</w:t>
            </w:r>
          </w:p>
        </w:tc>
      </w:tr>
      <w:tr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Role-adapted UX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Low-Medium</w:t>
            </w:r>
          </w:p>
        </w:tc>
        <w:tc>
          <w:tcPr>
            <w:tcW w:type="dxa" w:w="3041"/>
            <w:shd w:val="clear" w:color="auto" w:fill="FFFFFF"/>
          </w:tcPr>
          <w:p>
            <w:r>
              <w:rPr>
                <w:sz w:val="18"/>
              </w:rPr>
              <w:t>Language/detail level switching, same logic</w:t>
            </w:r>
          </w:p>
        </w:tc>
      </w:tr>
    </w:tbl>
    <w:p/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10. OPEN ITEMS</w:t>
      </w:r>
    </w:p>
    <w:p>
      <w:pPr>
        <w:spacing w:before="40" w:after="80"/>
      </w:pPr>
      <w:r>
        <w:rPr>
          <w:i w:val="0"/>
          <w:sz w:val="20"/>
        </w:rPr>
        <w:t>The following items require input from EngGeoMB or EVS before or during build.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280"/>
            <w:shd w:val="clear" w:color="auto" w:fill="1A3A5C"/>
          </w:tcPr>
          <w:p>
            <w:r>
              <w:rPr>
                <w:b/>
                <w:color w:val="FFFFFF"/>
                <w:sz w:val="18"/>
              </w:rPr>
              <w:t>Impact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NECB 2025 lighting LPD table (Table 4.2.1.5) — needs to be extracted and structured. Data is in the NECB 2025 PDF.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Honest Agency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Required for commercial lighting check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NECB 2025 HVAC equipment efficiency tables (Tables 5.2.12.1 series) — extensive but extractable.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Honest Agency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Required for commercial HVAC check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GHG performance level alongside NECB Tier 2 (Part 11) — not yet announced by Government of Manitoba.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EngGeoMB / GoM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May add a GHG check to commercial tool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Manitoba climate zone list — confirm HDD values for any cities not in the 24 already mapped.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EVS / EngGeoMB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Required for location selector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Presentation of inline code text — EVS to review how code language is displayed in the tool.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EVS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Required before launch</w:t>
            </w:r>
          </w:p>
        </w:tc>
      </w:tr>
      <w:tr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PDF hosting arrangement — confirm domain structure and file naming for hosted PDFs.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EngGeoMB</w:t>
            </w:r>
          </w:p>
        </w:tc>
        <w:tc>
          <w:tcPr>
            <w:tcW w:type="dxa" w:w="2280"/>
            <w:shd w:val="clear" w:color="auto" w:fill="FFFFFF"/>
          </w:tcPr>
          <w:p>
            <w:r>
              <w:rPr>
                <w:sz w:val="18"/>
              </w:rPr>
              <w:t>Required for code reference links</w:t>
            </w:r>
          </w:p>
        </w:tc>
      </w:tr>
      <w:tr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Interpretation Notes governance — who approves notes added to the tool over time.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EngGeoMB</w:t>
            </w:r>
          </w:p>
        </w:tc>
        <w:tc>
          <w:tcPr>
            <w:tcW w:type="dxa" w:w="2280"/>
            <w:shd w:val="clear" w:color="auto" w:fill="F2F4F7"/>
          </w:tcPr>
          <w:p>
            <w:r>
              <w:rPr>
                <w:sz w:val="18"/>
              </w:rPr>
              <w:t>Required for ongoing maintenance</w:t>
            </w:r>
          </w:p>
        </w:tc>
      </w:tr>
    </w:tbl>
    <w:p/>
    <w:p>
      <w:r>
        <w:br w:type="page"/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11. WHAT'S OUT OF SCOPE</w:t>
      </w:r>
    </w:p>
    <w:p>
      <w:pPr>
        <w:spacing w:before="40" w:after="80"/>
      </w:pPr>
      <w:r>
        <w:rPr>
          <w:i w:val="0"/>
          <w:sz w:val="20"/>
        </w:rPr>
        <w:t>The following are explicitly not included in Phase 1 of the tool:</w:t>
      </w:r>
    </w:p>
    <w:p>
      <w:pPr>
        <w:pStyle w:val="ListBullet"/>
        <w:spacing w:before="20" w:after="20"/>
      </w:pPr>
      <w:r>
        <w:rPr>
          <w:sz w:val="20"/>
        </w:rPr>
        <w:t>Full HOT2000 energy modelling (performance path is screening only)</w:t>
      </w:r>
    </w:p>
    <w:p>
      <w:pPr>
        <w:pStyle w:val="ListBullet"/>
        <w:spacing w:before="20" w:after="20"/>
      </w:pPr>
      <w:r>
        <w:rPr>
          <w:sz w:val="20"/>
        </w:rPr>
        <w:t>Alterations and renovations to existing buildings (NECB Part 13 / NBC Section 9.36.14) — complex rules, low traffic, Phase 2 candidate</w:t>
      </w:r>
    </w:p>
    <w:p>
      <w:pPr>
        <w:pStyle w:val="ListBullet"/>
        <w:spacing w:before="20" w:after="20"/>
      </w:pPr>
      <w:r>
        <w:rPr>
          <w:sz w:val="20"/>
        </w:rPr>
        <w:t>On-reserve jurisdiction (jurisdictional complexity, requires co-development)</w:t>
      </w:r>
    </w:p>
    <w:p>
      <w:pPr>
        <w:pStyle w:val="ListBullet"/>
        <w:spacing w:before="20" w:after="20"/>
      </w:pPr>
      <w:r>
        <w:rPr>
          <w:sz w:val="20"/>
        </w:rPr>
        <w:t>User accounts and project management beyond email-based save/share</w:t>
      </w:r>
    </w:p>
    <w:p>
      <w:pPr>
        <w:pStyle w:val="ListBullet"/>
        <w:spacing w:before="20" w:after="20"/>
      </w:pPr>
      <w:r>
        <w:rPr>
          <w:sz w:val="20"/>
        </w:rPr>
        <w:t>Bilingual (French) version of the tool — Phase 2 if required</w:t>
      </w:r>
    </w:p>
    <w:p>
      <w:pPr>
        <w:pStyle w:val="ListBullet"/>
        <w:spacing w:before="20" w:after="20"/>
      </w:pPr>
      <w:r>
        <w:rPr>
          <w:sz w:val="20"/>
        </w:rPr>
        <w:t>Integration with permit systems or authority having jurisdiction (AHJ) workflows</w:t>
      </w:r>
    </w:p>
    <w:p>
      <w:pPr>
        <w:pStyle w:val="ListBullet"/>
        <w:spacing w:before="20" w:after="20"/>
      </w:pPr>
      <w:r>
        <w:rPr>
          <w:sz w:val="20"/>
        </w:rPr>
        <w:t>Automated code updates — data will need manual review and update when code amendments are issued</w:t>
      </w:r>
    </w:p>
    <w:p>
      <w:pPr>
        <w:spacing w:before="360" w:after="80"/>
        <w:pBdr>
          <w:bottom w:val="single" w:sz="6" w:space="4" w:color="007A8A"/>
        </w:pBdr>
      </w:pPr>
      <w:r>
        <w:rPr>
          <w:b/>
          <w:color w:val="1A3A5C"/>
          <w:sz w:val="26"/>
        </w:rPr>
        <w:t>12. RECOMMENDED NEXT STEPS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1. </w:t>
      </w:r>
      <w:r>
        <w:rPr>
          <w:sz w:val="20"/>
        </w:rPr>
        <w:t>EngGeoMB and EVS review and approve this scope document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2. </w:t>
      </w:r>
      <w:r>
        <w:rPr>
          <w:sz w:val="20"/>
        </w:rPr>
        <w:t>Resolve open items 3–7 (items 1–2 can be handled by Honest Agency in parallel)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3. </w:t>
      </w:r>
      <w:r>
        <w:rPr>
          <w:sz w:val="20"/>
        </w:rPr>
        <w:t>Extract remaining NECB data (lighting LPD and HVAC efficiency tables)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4. </w:t>
      </w:r>
      <w:r>
        <w:rPr>
          <w:sz w:val="20"/>
        </w:rPr>
        <w:t>Wireframe the residential tiered prescriptive flow for EngGeoMB review before build begins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5. </w:t>
      </w:r>
      <w:r>
        <w:rPr>
          <w:sz w:val="20"/>
        </w:rPr>
        <w:t>Begin build — residential tool first, commercial second</w:t>
      </w:r>
    </w:p>
    <w:p>
      <w:pPr>
        <w:pStyle w:val="ListBullet"/>
        <w:spacing w:before="20" w:after="20"/>
      </w:pPr>
      <w:r>
        <w:rPr>
          <w:b/>
          <w:sz w:val="20"/>
        </w:rPr>
        <w:t xml:space="preserve">6. </w:t>
      </w:r>
      <w:r>
        <w:rPr>
          <w:sz w:val="20"/>
        </w:rPr>
        <w:t>EVS technical review of tool outputs against code before launch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